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C072A">
      <w:pPr>
        <w:pStyle w:val="41"/>
        <w:jc w:val="center"/>
        <w:rPr>
          <w:rFonts w:hint="default" w:ascii="Times New Roman" w:hAnsi="Times New Roman" w:eastAsia="Arial Unicode MS" w:cs="Times New Roman"/>
          <w:sz w:val="32"/>
          <w:szCs w:val="52"/>
          <w:lang w:val="en-US" w:eastAsia="zh-CN"/>
        </w:rPr>
      </w:pPr>
      <w:r>
        <w:rPr>
          <w:rFonts w:hint="default" w:ascii="Times New Roman" w:hAnsi="Times New Roman" w:eastAsia="Arial Unicode MS" w:cs="Times New Roman"/>
          <w:sz w:val="32"/>
          <w:szCs w:val="52"/>
        </w:rPr>
        <w:t>Readme information for the FY-3H/MERSI-III</w:t>
      </w:r>
    </w:p>
    <w:p w14:paraId="76F3DEE7">
      <w:pPr>
        <w:pStyle w:val="41"/>
        <w:jc w:val="center"/>
        <w:rPr>
          <w:rFonts w:hint="default" w:ascii="Times New Roman" w:hAnsi="Times New Roman" w:eastAsia="Arial Unicode MS" w:cs="Times New Roman"/>
          <w:sz w:val="32"/>
          <w:szCs w:val="52"/>
        </w:rPr>
      </w:pPr>
      <w:r>
        <w:rPr>
          <w:rFonts w:hint="default" w:ascii="Times New Roman" w:hAnsi="Times New Roman" w:eastAsia="Arial Unicode MS" w:cs="Times New Roman"/>
          <w:sz w:val="32"/>
          <w:szCs w:val="52"/>
        </w:rPr>
        <w:t>Spectral Response Function (SRF) Dataset for public release</w:t>
      </w:r>
    </w:p>
    <w:p w14:paraId="35372C15">
      <w:pPr>
        <w:ind w:firstLine="480"/>
      </w:pPr>
    </w:p>
    <w:p w14:paraId="34F0822E">
      <w:pPr>
        <w:ind w:firstLine="48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This document provides instructions for the use of the Spectral Response Function (SRF) of the Medium Resolution Spectral Imager III (MERSI-III) onboard the FY-3H satellite. The MERSI-III is one of the primary payloads on the FengYun-3H (FY-3H) satellite. Building upon the MERSI-II instrument flown on the FY-3D satellite, it has been further improved, focus</w:t>
      </w:r>
      <w:r>
        <w:rPr>
          <w:rFonts w:hint="eastAsia"/>
          <w:sz w:val="21"/>
          <w:szCs w:val="21"/>
          <w:lang w:val="en-US" w:eastAsia="zh-CN"/>
        </w:rPr>
        <w:t>ing</w:t>
      </w:r>
      <w:r>
        <w:rPr>
          <w:rFonts w:hint="eastAsia"/>
          <w:sz w:val="21"/>
          <w:szCs w:val="21"/>
        </w:rPr>
        <w:t xml:space="preserve"> on enhancing on-orbit radiometric calibration accuracy, detection sensitivity, and operational lifetime. The instrument comprises 25 spectral channels: 16 visible and near-infrared (VNIR) channels, 3 shortwave infrared (SWIR) channels, and 6 mid- to long-wave infrared (MIR/LWIR) channels. Among these 25 channels, six have a ground resolution of 250 meters and 19 have a ground resolution of 1000 meters.</w:t>
      </w:r>
    </w:p>
    <w:p w14:paraId="75ACF5C6">
      <w:pPr>
        <w:ind w:firstLine="48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The MERSI-III SRFs are normalized quasi-Gaussian functions, derived from monochromator-based laboratory measurements. Minor variations in SRF exist among different detector pixels within the same channel. The SRF data file contains two columns: the first column lists spectral wavelengths in nanometers (nm), and the second column provides the corresponding spectral response values. The spectral wavelengths are given as an equidistant series with a step size of approximately 0.5 nm, covering a spectral range from 300 nm to 1200 nm. For a given spectral channel λ, the spectral response values are normalized relative to the peak response, such that the SRF reaches its ma</w:t>
      </w:r>
      <w:bookmarkStart w:id="0" w:name="_GoBack"/>
      <w:bookmarkEnd w:id="0"/>
      <w:r>
        <w:rPr>
          <w:rFonts w:hint="eastAsia"/>
          <w:sz w:val="21"/>
          <w:szCs w:val="21"/>
        </w:rPr>
        <w:t>ximum value of 1 at the central wavelength of the channel.</w:t>
      </w:r>
    </w:p>
    <w:p w14:paraId="6B0BFC87">
      <w:pPr>
        <w:ind w:firstLine="480"/>
        <w:rPr>
          <w:rFonts w:hint="eastAsia"/>
        </w:rPr>
      </w:pPr>
    </w:p>
    <w:p w14:paraId="18CAF7BE">
      <w:pPr>
        <w:pStyle w:val="11"/>
        <w:jc w:val="center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Table 1 Channel characteristics of MERSI-III sensor</w:t>
      </w:r>
    </w:p>
    <w:tbl>
      <w:tblPr>
        <w:tblStyle w:val="17"/>
        <w:tblW w:w="332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2911"/>
        <w:gridCol w:w="1748"/>
      </w:tblGrid>
      <w:tr w14:paraId="46F8C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" w:type="pct"/>
          </w:tcPr>
          <w:p w14:paraId="732B8E6A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波段</w:t>
            </w:r>
          </w:p>
        </w:tc>
        <w:tc>
          <w:tcPr>
            <w:tcW w:w="2566" w:type="pct"/>
            <w:vAlign w:val="center"/>
          </w:tcPr>
          <w:p w14:paraId="76257B6D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中心波长 (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sym w:font="Symbol" w:char="F06D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m)</w:t>
            </w:r>
          </w:p>
        </w:tc>
        <w:tc>
          <w:tcPr>
            <w:tcW w:w="1540" w:type="pct"/>
            <w:vAlign w:val="center"/>
          </w:tcPr>
          <w:p w14:paraId="51609904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带宽(nm)</w:t>
            </w:r>
          </w:p>
        </w:tc>
      </w:tr>
      <w:tr w14:paraId="767E5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723E50BB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11" w:type="dxa"/>
            <w:vAlign w:val="center"/>
          </w:tcPr>
          <w:p w14:paraId="1E71A2AC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0.47</w:t>
            </w:r>
          </w:p>
        </w:tc>
        <w:tc>
          <w:tcPr>
            <w:tcW w:w="1748" w:type="dxa"/>
            <w:vAlign w:val="top"/>
          </w:tcPr>
          <w:p w14:paraId="3978E099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50</w:t>
            </w:r>
          </w:p>
        </w:tc>
      </w:tr>
      <w:tr w14:paraId="0D83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3F96CC5C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11" w:type="dxa"/>
            <w:vAlign w:val="center"/>
          </w:tcPr>
          <w:p w14:paraId="2328F6E2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0.55</w:t>
            </w:r>
          </w:p>
        </w:tc>
        <w:tc>
          <w:tcPr>
            <w:tcW w:w="1748" w:type="dxa"/>
            <w:vAlign w:val="top"/>
          </w:tcPr>
          <w:p w14:paraId="0A8039D0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50</w:t>
            </w:r>
          </w:p>
        </w:tc>
      </w:tr>
      <w:tr w14:paraId="130F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7F05477B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11" w:type="dxa"/>
            <w:vAlign w:val="center"/>
          </w:tcPr>
          <w:p w14:paraId="4F207491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0.65</w:t>
            </w:r>
          </w:p>
        </w:tc>
        <w:tc>
          <w:tcPr>
            <w:tcW w:w="1748" w:type="dxa"/>
            <w:vAlign w:val="top"/>
          </w:tcPr>
          <w:p w14:paraId="36F17F34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50</w:t>
            </w:r>
          </w:p>
        </w:tc>
      </w:tr>
      <w:tr w14:paraId="0D906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012" w:type="dxa"/>
            <w:vAlign w:val="center"/>
          </w:tcPr>
          <w:p w14:paraId="411B6B64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11" w:type="dxa"/>
            <w:vAlign w:val="center"/>
          </w:tcPr>
          <w:p w14:paraId="45D8F313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0.865</w:t>
            </w:r>
          </w:p>
        </w:tc>
        <w:tc>
          <w:tcPr>
            <w:tcW w:w="1748" w:type="dxa"/>
            <w:vAlign w:val="top"/>
          </w:tcPr>
          <w:p w14:paraId="3DB6E140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50</w:t>
            </w:r>
          </w:p>
        </w:tc>
      </w:tr>
      <w:tr w14:paraId="05E6E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75370977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11" w:type="dxa"/>
            <w:vAlign w:val="center"/>
          </w:tcPr>
          <w:p w14:paraId="0A8D4338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1.38</w:t>
            </w:r>
          </w:p>
        </w:tc>
        <w:tc>
          <w:tcPr>
            <w:tcW w:w="1748" w:type="dxa"/>
            <w:vAlign w:val="top"/>
          </w:tcPr>
          <w:p w14:paraId="631A0E29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30</w:t>
            </w:r>
          </w:p>
        </w:tc>
      </w:tr>
      <w:tr w14:paraId="3213B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51425947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11" w:type="dxa"/>
            <w:vAlign w:val="center"/>
          </w:tcPr>
          <w:p w14:paraId="063236F3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1.64</w:t>
            </w:r>
          </w:p>
        </w:tc>
        <w:tc>
          <w:tcPr>
            <w:tcW w:w="1748" w:type="dxa"/>
            <w:vAlign w:val="top"/>
          </w:tcPr>
          <w:p w14:paraId="2034134B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50</w:t>
            </w:r>
          </w:p>
        </w:tc>
      </w:tr>
      <w:tr w14:paraId="3F79C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5EE490AB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11" w:type="dxa"/>
            <w:vAlign w:val="center"/>
          </w:tcPr>
          <w:p w14:paraId="3FB0090D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2.13</w:t>
            </w:r>
          </w:p>
        </w:tc>
        <w:tc>
          <w:tcPr>
            <w:tcW w:w="1748" w:type="dxa"/>
            <w:vAlign w:val="top"/>
          </w:tcPr>
          <w:p w14:paraId="1A4BFE15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50</w:t>
            </w:r>
          </w:p>
        </w:tc>
      </w:tr>
      <w:tr w14:paraId="000CF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22E0FF27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11" w:type="dxa"/>
            <w:vAlign w:val="center"/>
          </w:tcPr>
          <w:p w14:paraId="1A911EBF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0.412</w:t>
            </w:r>
          </w:p>
        </w:tc>
        <w:tc>
          <w:tcPr>
            <w:tcW w:w="1748" w:type="dxa"/>
            <w:vAlign w:val="top"/>
          </w:tcPr>
          <w:p w14:paraId="4463A3EE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20</w:t>
            </w:r>
          </w:p>
        </w:tc>
      </w:tr>
      <w:tr w14:paraId="2F21A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588DD207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11" w:type="dxa"/>
            <w:vAlign w:val="center"/>
          </w:tcPr>
          <w:p w14:paraId="76B4FF4A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0.443</w:t>
            </w:r>
          </w:p>
        </w:tc>
        <w:tc>
          <w:tcPr>
            <w:tcW w:w="1748" w:type="dxa"/>
            <w:vAlign w:val="top"/>
          </w:tcPr>
          <w:p w14:paraId="1090C692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20</w:t>
            </w:r>
          </w:p>
        </w:tc>
      </w:tr>
      <w:tr w14:paraId="51034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220EBE89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11" w:type="dxa"/>
            <w:vAlign w:val="center"/>
          </w:tcPr>
          <w:p w14:paraId="3CFA72AE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0.49</w:t>
            </w:r>
          </w:p>
        </w:tc>
        <w:tc>
          <w:tcPr>
            <w:tcW w:w="1748" w:type="dxa"/>
            <w:vAlign w:val="top"/>
          </w:tcPr>
          <w:p w14:paraId="4665E546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20</w:t>
            </w:r>
          </w:p>
        </w:tc>
      </w:tr>
      <w:tr w14:paraId="19A73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3563640F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11" w:type="dxa"/>
            <w:vAlign w:val="center"/>
          </w:tcPr>
          <w:p w14:paraId="268248F6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0.555</w:t>
            </w:r>
          </w:p>
        </w:tc>
        <w:tc>
          <w:tcPr>
            <w:tcW w:w="1748" w:type="dxa"/>
            <w:vAlign w:val="top"/>
          </w:tcPr>
          <w:p w14:paraId="7811B28D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20</w:t>
            </w:r>
          </w:p>
        </w:tc>
      </w:tr>
      <w:tr w14:paraId="66E52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78A9FF8E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11" w:type="dxa"/>
            <w:vAlign w:val="center"/>
          </w:tcPr>
          <w:p w14:paraId="2A6927CB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0.67</w:t>
            </w:r>
          </w:p>
        </w:tc>
        <w:tc>
          <w:tcPr>
            <w:tcW w:w="1748" w:type="dxa"/>
            <w:vAlign w:val="top"/>
          </w:tcPr>
          <w:p w14:paraId="00D962BE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20</w:t>
            </w:r>
          </w:p>
        </w:tc>
      </w:tr>
      <w:tr w14:paraId="79F97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2959F985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11" w:type="dxa"/>
            <w:vAlign w:val="center"/>
          </w:tcPr>
          <w:p w14:paraId="57DDAE23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0.709</w:t>
            </w:r>
          </w:p>
        </w:tc>
        <w:tc>
          <w:tcPr>
            <w:tcW w:w="1748" w:type="dxa"/>
            <w:vAlign w:val="top"/>
          </w:tcPr>
          <w:p w14:paraId="2C7E245C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20</w:t>
            </w:r>
          </w:p>
        </w:tc>
      </w:tr>
      <w:tr w14:paraId="4489E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0AA50C7A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11" w:type="dxa"/>
            <w:vAlign w:val="center"/>
          </w:tcPr>
          <w:p w14:paraId="328BD77E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0.746</w:t>
            </w:r>
          </w:p>
        </w:tc>
        <w:tc>
          <w:tcPr>
            <w:tcW w:w="1748" w:type="dxa"/>
            <w:vAlign w:val="top"/>
          </w:tcPr>
          <w:p w14:paraId="3A603530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20</w:t>
            </w:r>
          </w:p>
        </w:tc>
      </w:tr>
      <w:tr w14:paraId="55608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32CDB531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11" w:type="dxa"/>
            <w:vAlign w:val="center"/>
          </w:tcPr>
          <w:p w14:paraId="72AF8E86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0.865</w:t>
            </w:r>
          </w:p>
        </w:tc>
        <w:tc>
          <w:tcPr>
            <w:tcW w:w="1748" w:type="dxa"/>
            <w:vAlign w:val="top"/>
          </w:tcPr>
          <w:p w14:paraId="264CAD67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20</w:t>
            </w:r>
          </w:p>
        </w:tc>
      </w:tr>
      <w:tr w14:paraId="3EA07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2A8BACC1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911" w:type="dxa"/>
            <w:vAlign w:val="center"/>
          </w:tcPr>
          <w:p w14:paraId="4FA76851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0.905</w:t>
            </w:r>
          </w:p>
        </w:tc>
        <w:tc>
          <w:tcPr>
            <w:tcW w:w="1748" w:type="dxa"/>
            <w:vAlign w:val="top"/>
          </w:tcPr>
          <w:p w14:paraId="5B0A8767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20</w:t>
            </w:r>
          </w:p>
        </w:tc>
      </w:tr>
      <w:tr w14:paraId="16B94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0309809D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2911" w:type="dxa"/>
            <w:vAlign w:val="center"/>
          </w:tcPr>
          <w:p w14:paraId="0EEBC24C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0.936</w:t>
            </w:r>
          </w:p>
        </w:tc>
        <w:tc>
          <w:tcPr>
            <w:tcW w:w="1748" w:type="dxa"/>
            <w:vAlign w:val="top"/>
          </w:tcPr>
          <w:p w14:paraId="1123A8DF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20</w:t>
            </w:r>
          </w:p>
        </w:tc>
      </w:tr>
      <w:tr w14:paraId="15EAA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7CD2EF21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2911" w:type="dxa"/>
            <w:vAlign w:val="center"/>
          </w:tcPr>
          <w:p w14:paraId="3B410FD2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0.94</w:t>
            </w:r>
          </w:p>
        </w:tc>
        <w:tc>
          <w:tcPr>
            <w:tcW w:w="1748" w:type="dxa"/>
            <w:vAlign w:val="top"/>
          </w:tcPr>
          <w:p w14:paraId="6D06250A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50</w:t>
            </w:r>
          </w:p>
        </w:tc>
      </w:tr>
      <w:tr w14:paraId="44DCF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center"/>
          </w:tcPr>
          <w:p w14:paraId="6C16ADC6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2911" w:type="dxa"/>
            <w:vAlign w:val="center"/>
          </w:tcPr>
          <w:p w14:paraId="6F129000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1.03</w:t>
            </w:r>
          </w:p>
        </w:tc>
        <w:tc>
          <w:tcPr>
            <w:tcW w:w="1748" w:type="dxa"/>
            <w:vAlign w:val="top"/>
          </w:tcPr>
          <w:p w14:paraId="5A03DACD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20</w:t>
            </w:r>
          </w:p>
        </w:tc>
      </w:tr>
      <w:tr w14:paraId="18DD5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top"/>
          </w:tcPr>
          <w:p w14:paraId="6E2C5E35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2911" w:type="dxa"/>
            <w:vAlign w:val="top"/>
          </w:tcPr>
          <w:p w14:paraId="3FCACA9D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3.8</w:t>
            </w:r>
          </w:p>
        </w:tc>
        <w:tc>
          <w:tcPr>
            <w:tcW w:w="1748" w:type="dxa"/>
            <w:vAlign w:val="top"/>
          </w:tcPr>
          <w:p w14:paraId="19B27AFB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180</w:t>
            </w:r>
          </w:p>
        </w:tc>
      </w:tr>
      <w:tr w14:paraId="0308D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top"/>
          </w:tcPr>
          <w:p w14:paraId="305EEB72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21</w:t>
            </w:r>
          </w:p>
        </w:tc>
        <w:tc>
          <w:tcPr>
            <w:tcW w:w="2911" w:type="dxa"/>
            <w:vAlign w:val="top"/>
          </w:tcPr>
          <w:p w14:paraId="4F3E3476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4.05</w:t>
            </w:r>
          </w:p>
        </w:tc>
        <w:tc>
          <w:tcPr>
            <w:tcW w:w="1748" w:type="dxa"/>
            <w:vAlign w:val="top"/>
          </w:tcPr>
          <w:p w14:paraId="12F5F942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155</w:t>
            </w:r>
          </w:p>
        </w:tc>
      </w:tr>
      <w:tr w14:paraId="7A10A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top"/>
          </w:tcPr>
          <w:p w14:paraId="6EF45AA0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22</w:t>
            </w:r>
          </w:p>
        </w:tc>
        <w:tc>
          <w:tcPr>
            <w:tcW w:w="2911" w:type="dxa"/>
            <w:vAlign w:val="top"/>
          </w:tcPr>
          <w:p w14:paraId="4E818341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7.2</w:t>
            </w:r>
          </w:p>
        </w:tc>
        <w:tc>
          <w:tcPr>
            <w:tcW w:w="1748" w:type="dxa"/>
            <w:vAlign w:val="top"/>
          </w:tcPr>
          <w:p w14:paraId="49289C16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500</w:t>
            </w:r>
          </w:p>
        </w:tc>
      </w:tr>
      <w:tr w14:paraId="3B568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top"/>
          </w:tcPr>
          <w:p w14:paraId="41045CA8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23</w:t>
            </w:r>
          </w:p>
        </w:tc>
        <w:tc>
          <w:tcPr>
            <w:tcW w:w="2911" w:type="dxa"/>
            <w:vAlign w:val="top"/>
          </w:tcPr>
          <w:p w14:paraId="623EFAB5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8.55</w:t>
            </w:r>
          </w:p>
        </w:tc>
        <w:tc>
          <w:tcPr>
            <w:tcW w:w="1748" w:type="dxa"/>
            <w:vAlign w:val="top"/>
          </w:tcPr>
          <w:p w14:paraId="063EE33F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300</w:t>
            </w:r>
          </w:p>
        </w:tc>
      </w:tr>
      <w:tr w14:paraId="53C26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top"/>
          </w:tcPr>
          <w:p w14:paraId="28D420EC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2911" w:type="dxa"/>
            <w:vAlign w:val="top"/>
          </w:tcPr>
          <w:p w14:paraId="7708BAF8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10.8</w:t>
            </w:r>
          </w:p>
        </w:tc>
        <w:tc>
          <w:tcPr>
            <w:tcW w:w="1748" w:type="dxa"/>
            <w:vAlign w:val="top"/>
          </w:tcPr>
          <w:p w14:paraId="3CA2B37B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1000</w:t>
            </w:r>
          </w:p>
        </w:tc>
      </w:tr>
      <w:tr w14:paraId="5CB67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" w:type="dxa"/>
            <w:vAlign w:val="top"/>
          </w:tcPr>
          <w:p w14:paraId="71357428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25</w:t>
            </w:r>
          </w:p>
        </w:tc>
        <w:tc>
          <w:tcPr>
            <w:tcW w:w="2911" w:type="dxa"/>
            <w:vAlign w:val="top"/>
          </w:tcPr>
          <w:p w14:paraId="144B78AD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12.0</w:t>
            </w:r>
          </w:p>
        </w:tc>
        <w:tc>
          <w:tcPr>
            <w:tcW w:w="1748" w:type="dxa"/>
            <w:vAlign w:val="top"/>
          </w:tcPr>
          <w:p w14:paraId="78989011">
            <w:p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1000</w:t>
            </w:r>
          </w:p>
        </w:tc>
      </w:tr>
    </w:tbl>
    <w:p w14:paraId="6A62B42B">
      <w:pPr>
        <w:ind w:firstLine="480"/>
        <w:rPr>
          <w:rFonts w:hint="default" w:ascii="Times New Roman" w:hAnsi="Times New Roman" w:cs="Times New Roman"/>
          <w:sz w:val="21"/>
          <w:szCs w:val="21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ECD1C">
    <w:pPr>
      <w:pStyle w:val="1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7F437">
    <w:pPr>
      <w:pStyle w:val="1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07A73">
    <w:pPr>
      <w:pStyle w:val="1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480"/>
      </w:pPr>
      <w:r>
        <w:separator/>
      </w:r>
    </w:p>
  </w:footnote>
  <w:footnote w:type="continuationSeparator" w:id="1">
    <w:p>
      <w:pPr>
        <w:spacing w:line="312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A6DBA">
    <w:pPr>
      <w:pStyle w:val="1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FD6F0">
    <w:pPr>
      <w:pStyle w:val="1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5B5D5">
    <w:pPr>
      <w:pStyle w:val="1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F71"/>
    <w:rsid w:val="00242A03"/>
    <w:rsid w:val="00335F71"/>
    <w:rsid w:val="0036783B"/>
    <w:rsid w:val="003A192F"/>
    <w:rsid w:val="003B5FCC"/>
    <w:rsid w:val="00452573"/>
    <w:rsid w:val="004629B4"/>
    <w:rsid w:val="0047596C"/>
    <w:rsid w:val="006119D9"/>
    <w:rsid w:val="00645132"/>
    <w:rsid w:val="00674846"/>
    <w:rsid w:val="006E553C"/>
    <w:rsid w:val="006F5BDF"/>
    <w:rsid w:val="007C5658"/>
    <w:rsid w:val="008252F9"/>
    <w:rsid w:val="00A1162F"/>
    <w:rsid w:val="00A20386"/>
    <w:rsid w:val="00A60BA6"/>
    <w:rsid w:val="00B73CA5"/>
    <w:rsid w:val="00BA13C4"/>
    <w:rsid w:val="00C84322"/>
    <w:rsid w:val="00F87907"/>
    <w:rsid w:val="00FB21A6"/>
    <w:rsid w:val="00FD69D6"/>
    <w:rsid w:val="152008D2"/>
    <w:rsid w:val="18BC19EB"/>
    <w:rsid w:val="1AAF0857"/>
    <w:rsid w:val="22CF56F1"/>
    <w:rsid w:val="357331BF"/>
    <w:rsid w:val="398832DB"/>
    <w:rsid w:val="42C972FA"/>
    <w:rsid w:val="4E9407BC"/>
    <w:rsid w:val="570E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2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next w:val="1"/>
    <w:link w:val="29"/>
    <w:qFormat/>
    <w:uiPriority w:val="10"/>
    <w:pPr>
      <w:spacing w:after="80"/>
      <w:contextualSpacing/>
      <w:jc w:val="center"/>
    </w:pPr>
    <w:rPr>
      <w:rFonts w:ascii="Times New Roman" w:hAnsi="Times New Roman" w:eastAsia="黑体" w:cstheme="majorBidi"/>
      <w:spacing w:val="-10"/>
      <w:kern w:val="28"/>
      <w:sz w:val="32"/>
      <w:szCs w:val="56"/>
      <w:lang w:val="en-US" w:eastAsia="zh-CN" w:bidi="ar-SA"/>
      <w14:ligatures w14:val="standardContextual"/>
    </w:rPr>
  </w:style>
  <w:style w:type="character" w:styleId="19">
    <w:name w:val="Hyperlink"/>
    <w:basedOn w:val="18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qFormat/>
    <w:uiPriority w:val="10"/>
    <w:rPr>
      <w:rFonts w:ascii="Times New Roman" w:hAnsi="Times New Roman" w:eastAsia="黑体" w:cstheme="majorBidi"/>
      <w:spacing w:val="-10"/>
      <w:kern w:val="28"/>
      <w:sz w:val="32"/>
      <w:szCs w:val="56"/>
    </w:rPr>
  </w:style>
  <w:style w:type="character" w:customStyle="1" w:styleId="30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明显强调1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明显参考1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99"/>
    <w:rPr>
      <w:sz w:val="18"/>
      <w:szCs w:val="18"/>
    </w:rPr>
  </w:style>
  <w:style w:type="character" w:customStyle="1" w:styleId="40">
    <w:name w:val="Unresolved Mention"/>
    <w:basedOn w:val="1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1">
    <w:name w:val="Default"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E5022-C62B-4CC1-A611-E6372B70BC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322</Words>
  <Characters>1549</Characters>
  <Lines>3</Lines>
  <Paragraphs>1</Paragraphs>
  <TotalTime>0</TotalTime>
  <ScaleCrop>false</ScaleCrop>
  <LinksUpToDate>false</LinksUpToDate>
  <CharactersWithSpaces>1777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2025-09-18T01:32:00Z</dcterms:created>
  <dc:creator>admin</dc:creator>
  <cp:lastModifiedBy>sj</cp:lastModifiedBy>
  <dcterms:modified xsi:type="dcterms:W3CDTF">2025-09-19T08:15:10Z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eyJoZGlkIjoiODNhODdlMzhlODAzYzYyZGY0ZjhmMDc3ODIxZTJiMzQiLCJ1c2VySWQiOiI2NDI0NzE0NzAifQ==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0F572F0AD6A248009703A0F0179BA9F6_13</vt:lpwstr>
  </property>
</Properties>
</file>